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w:p>
      <w:r>
        <w:t/>
      </w:r>
      <w:r>
        <w:rPr>
          <w:b w:val="true"/>
        </w:rPr>
        <w:t xml:space="preserve">Table 2. Marginal effects of fiscal rules by rule type</w:t>
      </w:r>
    </w:p>
    <w:tbl>
      <w:tblPr>
        <w:tblStyle w:val="TableGrid"/>
        <w:tblW w:w="0" w:type="auto"/>
      </w:tblPr>
      <w:tblGrid>
        <w:gridCol w:w="1170"/>
        <w:gridCol w:w="1170"/>
        <w:gridCol w:w="1170"/>
        <w:gridCol w:w="1170"/>
        <w:gridCol w:w="1170"/>
        <w:gridCol w:w="1170"/>
        <w:gridCol w:w="1170"/>
        <w:gridCol w:w="1170"/>
      </w:tblGrid>
      <w:tr>
        <w:tc>
          <w:tcPr>
            <w:tcW w:w="0" w:type="auto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Enforcement mechanisms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Correction mechanisms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Statutory basis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Government coverage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Escape clauses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Cyclically adjutsed targets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Spending carve-outs</w:t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 xml:space="preserve">ME of fiscal rule | Rule type = 0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0.07*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0.09***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0.13**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0.05*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0.09***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0.09***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0.12***</w:t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(0.04)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(0.06)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 xml:space="preserve">ME of fiscal rule | Rule type = 1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0.10***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0.09**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0.08***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0.14***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0.09***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0.10***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0.05*</w:t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(0.04)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(0.04)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</w:tr>
    </w:tbl>
    <w:p>
      <w:r>
        <w:t/>
      </w:r>
    </w:p>
    <w:p>
      <w:r>
        <w:t/>
      </w:r>
      <w:r>
        <w:t xml:space="preserve">Robust standard errors in parentheses.</w:t>
      </w:r>
    </w:p>
    <w:p>
      <w:r>
        <w:t/>
      </w:r>
      <w:r>
        <w:t xml:space="preserve">*** p&lt;0.01, ** p&lt;0.05, * p&lt;0.10</w:t>
      </w:r>
    </w:p>
    <w:sectPr>
      <w:pgSz w:w="12240" w:h="15840" w:code="1"/>
      <w:pgMar w:top="1440" w:right="1440" w:bottom="1440" w:left="1440"/>
    </w:sectPr>
  </w:body>
</w:document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